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17B6" w:rsidRDefault="00D417B6" w:rsidP="00D417B6">
      <w:pPr>
        <w:pStyle w:val="Corpsdetexte"/>
        <w:spacing w:before="10"/>
        <w:rPr>
          <w:b/>
          <w:i/>
          <w:sz w:val="27"/>
        </w:rPr>
      </w:pPr>
    </w:p>
    <w:p w:rsidR="00D417B6" w:rsidRDefault="00D417B6" w:rsidP="00D417B6">
      <w:pPr>
        <w:spacing w:before="1"/>
        <w:ind w:left="719" w:right="991"/>
        <w:jc w:val="center"/>
        <w:rPr>
          <w:b/>
          <w:sz w:val="28"/>
        </w:rPr>
      </w:pPr>
      <w:r>
        <w:rPr>
          <w:b/>
          <w:sz w:val="28"/>
        </w:rPr>
        <w:t>DEPARTEMENT DE ……………….</w:t>
      </w:r>
    </w:p>
    <w:p w:rsidR="00D417B6" w:rsidRDefault="00D417B6" w:rsidP="00D417B6">
      <w:pPr>
        <w:ind w:left="719" w:right="990"/>
        <w:jc w:val="center"/>
        <w:rPr>
          <w:rFonts w:ascii="Symbol" w:hAnsi="Symbol"/>
          <w:sz w:val="28"/>
        </w:rPr>
      </w:pPr>
      <w:r>
        <w:rPr>
          <w:rFonts w:ascii="Symbol" w:hAnsi="Symbol"/>
          <w:sz w:val="28"/>
        </w:rPr>
        <w:t></w:t>
      </w:r>
      <w:r>
        <w:rPr>
          <w:rFonts w:ascii="Symbol" w:hAnsi="Symbol"/>
          <w:sz w:val="28"/>
        </w:rPr>
        <w:t></w:t>
      </w:r>
      <w:r>
        <w:rPr>
          <w:rFonts w:ascii="Symbol" w:hAnsi="Symbol"/>
          <w:sz w:val="28"/>
        </w:rPr>
        <w:t></w:t>
      </w:r>
    </w:p>
    <w:p w:rsidR="00D417B6" w:rsidRDefault="00D417B6" w:rsidP="00D417B6">
      <w:pPr>
        <w:ind w:left="719" w:right="990"/>
        <w:jc w:val="center"/>
        <w:rPr>
          <w:b/>
          <w:sz w:val="28"/>
        </w:rPr>
      </w:pPr>
      <w:r>
        <w:rPr>
          <w:b/>
          <w:sz w:val="28"/>
        </w:rPr>
        <w:t>COMMUNE DE ………………………</w:t>
      </w:r>
    </w:p>
    <w:p w:rsidR="00D417B6" w:rsidRDefault="00D417B6" w:rsidP="00D417B6">
      <w:pPr>
        <w:pStyle w:val="Corpsdetexte"/>
        <w:spacing w:before="11"/>
        <w:rPr>
          <w:b/>
          <w:sz w:val="43"/>
        </w:rPr>
      </w:pPr>
    </w:p>
    <w:p w:rsidR="00D417B6" w:rsidRDefault="00D417B6" w:rsidP="00D417B6">
      <w:pPr>
        <w:ind w:left="716" w:right="991"/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RESTRICTION D’USAGES NON PRIORITAIRES DE L’EAU POTABLE </w:t>
      </w:r>
    </w:p>
    <w:p w:rsidR="00D417B6" w:rsidRDefault="00D417B6" w:rsidP="00D417B6">
      <w:pPr>
        <w:pStyle w:val="Corpsdetexte"/>
        <w:spacing w:before="9"/>
        <w:rPr>
          <w:b/>
          <w:i/>
          <w:sz w:val="31"/>
        </w:rPr>
      </w:pPr>
    </w:p>
    <w:p w:rsidR="00D417B6" w:rsidRDefault="00D417B6" w:rsidP="00D417B6">
      <w:pPr>
        <w:ind w:left="714" w:right="991"/>
        <w:jc w:val="center"/>
        <w:rPr>
          <w:b/>
          <w:sz w:val="24"/>
        </w:rPr>
      </w:pPr>
      <w:r>
        <w:rPr>
          <w:b/>
          <w:sz w:val="24"/>
        </w:rPr>
        <w:t>LE MAIRE</w:t>
      </w:r>
    </w:p>
    <w:p w:rsidR="00D417B6" w:rsidRDefault="00D417B6" w:rsidP="00D417B6">
      <w:pPr>
        <w:spacing w:before="187"/>
        <w:ind w:left="294" w:right="685"/>
      </w:pPr>
      <w:r>
        <w:t>VU le Code général des collectivités territoriales, notamment les articles L.2212-1 et L.2212-2 ; VU le code de l'environnement ;</w:t>
      </w:r>
    </w:p>
    <w:p w:rsidR="00D417B6" w:rsidRDefault="00D417B6" w:rsidP="00D417B6">
      <w:pPr>
        <w:spacing w:before="1" w:line="252" w:lineRule="exact"/>
        <w:ind w:left="294"/>
      </w:pPr>
      <w:r>
        <w:t>VU le code de la santé publique ;</w:t>
      </w:r>
    </w:p>
    <w:p w:rsidR="00D417B6" w:rsidRDefault="00D417B6" w:rsidP="00D417B6">
      <w:pPr>
        <w:spacing w:line="252" w:lineRule="exact"/>
        <w:ind w:left="294"/>
      </w:pPr>
      <w:r>
        <w:t>VU les articles R. 610-5 et 131-13 du code pénal ;</w:t>
      </w:r>
    </w:p>
    <w:p w:rsidR="00D417B6" w:rsidRDefault="00D417B6" w:rsidP="00D417B6">
      <w:pPr>
        <w:pStyle w:val="Corpsdetexte"/>
        <w:rPr>
          <w:sz w:val="22"/>
        </w:rPr>
      </w:pPr>
    </w:p>
    <w:p w:rsidR="00D417B6" w:rsidRDefault="00D417B6" w:rsidP="00D417B6">
      <w:pPr>
        <w:spacing w:line="252" w:lineRule="exact"/>
        <w:ind w:left="294"/>
      </w:pPr>
      <w:r>
        <w:t>CONSIDERANT que :</w:t>
      </w:r>
    </w:p>
    <w:p w:rsidR="00D417B6" w:rsidRDefault="00D417B6" w:rsidP="00D417B6">
      <w:pPr>
        <w:ind w:left="294" w:right="5381"/>
      </w:pPr>
      <w:r>
        <w:rPr>
          <w:color w:val="FF9900"/>
        </w:rPr>
        <w:t>les conditions exceptionnelles de sécheresse ; la persistance du déficit pluvieux ;</w:t>
      </w:r>
    </w:p>
    <w:p w:rsidR="00D417B6" w:rsidRDefault="00D417B6" w:rsidP="00D417B6">
      <w:pPr>
        <w:spacing w:line="252" w:lineRule="exact"/>
        <w:ind w:left="294"/>
      </w:pPr>
      <w:r>
        <w:rPr>
          <w:color w:val="FF9900"/>
        </w:rPr>
        <w:t>le risque de pénurie d'eau ;</w:t>
      </w:r>
    </w:p>
    <w:p w:rsidR="00D417B6" w:rsidRDefault="00D417B6" w:rsidP="00D417B6">
      <w:pPr>
        <w:ind w:left="294" w:right="710"/>
      </w:pPr>
      <w:r>
        <w:rPr>
          <w:color w:val="FF9900"/>
        </w:rPr>
        <w:t>la nécessité impérieuse de préserver la distribution d'eau potable aux habitants et de garantir une réserve d'incendie ;</w:t>
      </w:r>
    </w:p>
    <w:p w:rsidR="00D417B6" w:rsidRDefault="00D417B6" w:rsidP="00D417B6">
      <w:pPr>
        <w:pStyle w:val="Corpsdetexte"/>
        <w:spacing w:before="11"/>
        <w:rPr>
          <w:sz w:val="13"/>
        </w:rPr>
      </w:pPr>
    </w:p>
    <w:p w:rsidR="00D417B6" w:rsidRDefault="00D417B6" w:rsidP="00D417B6">
      <w:pPr>
        <w:spacing w:before="92" w:line="276" w:lineRule="exact"/>
        <w:ind w:left="712" w:right="991"/>
        <w:jc w:val="center"/>
        <w:rPr>
          <w:b/>
          <w:sz w:val="24"/>
        </w:rPr>
      </w:pPr>
      <w:r>
        <w:rPr>
          <w:b/>
          <w:sz w:val="24"/>
        </w:rPr>
        <w:t>ARRETE</w:t>
      </w:r>
    </w:p>
    <w:p w:rsidR="00D417B6" w:rsidRDefault="00D417B6" w:rsidP="00D417B6">
      <w:pPr>
        <w:spacing w:line="253" w:lineRule="exact"/>
        <w:ind w:left="294"/>
      </w:pPr>
      <w:r>
        <w:rPr>
          <w:b/>
        </w:rPr>
        <w:t xml:space="preserve">ARTICLE 1 </w:t>
      </w:r>
      <w:r>
        <w:t>: Sont Interdits sur le territoire de la commune de …………..</w:t>
      </w:r>
    </w:p>
    <w:p w:rsidR="00D417B6" w:rsidRDefault="00D417B6" w:rsidP="00D05ACC">
      <w:pPr>
        <w:pStyle w:val="Paragraphedeliste"/>
        <w:numPr>
          <w:ilvl w:val="0"/>
          <w:numId w:val="1"/>
        </w:numPr>
        <w:tabs>
          <w:tab w:val="left" w:pos="1014"/>
          <w:tab w:val="left" w:pos="1015"/>
        </w:tabs>
        <w:spacing w:before="1"/>
        <w:ind w:hanging="361"/>
      </w:pPr>
      <w:r>
        <w:t>l’arrosage des pelouses et espaces verts publics ou</w:t>
      </w:r>
      <w:r>
        <w:rPr>
          <w:spacing w:val="-10"/>
        </w:rPr>
        <w:t xml:space="preserve"> </w:t>
      </w:r>
      <w:r>
        <w:t>privés,</w:t>
      </w:r>
    </w:p>
    <w:p w:rsidR="00D417B6" w:rsidRDefault="00D417B6" w:rsidP="00D05ACC">
      <w:pPr>
        <w:pStyle w:val="Paragraphedeliste"/>
        <w:numPr>
          <w:ilvl w:val="0"/>
          <w:numId w:val="1"/>
        </w:numPr>
        <w:tabs>
          <w:tab w:val="left" w:pos="1014"/>
          <w:tab w:val="left" w:pos="1015"/>
        </w:tabs>
        <w:spacing w:before="1" w:line="253" w:lineRule="exact"/>
        <w:ind w:hanging="361"/>
      </w:pPr>
      <w:r>
        <w:t>l’arrosage des jardins potagers et des massifs</w:t>
      </w:r>
      <w:r>
        <w:rPr>
          <w:spacing w:val="-12"/>
        </w:rPr>
        <w:t xml:space="preserve"> </w:t>
      </w:r>
      <w:r>
        <w:t>floraux,</w:t>
      </w:r>
    </w:p>
    <w:p w:rsidR="00D417B6" w:rsidRDefault="00D417B6" w:rsidP="00D05ACC">
      <w:pPr>
        <w:pStyle w:val="Paragraphedeliste"/>
        <w:numPr>
          <w:ilvl w:val="0"/>
          <w:numId w:val="1"/>
        </w:numPr>
        <w:tabs>
          <w:tab w:val="left" w:pos="1014"/>
          <w:tab w:val="left" w:pos="1015"/>
        </w:tabs>
        <w:spacing w:line="252" w:lineRule="exact"/>
        <w:ind w:hanging="361"/>
      </w:pPr>
      <w:r>
        <w:t>le nettoyage des terrasses et des</w:t>
      </w:r>
      <w:r>
        <w:rPr>
          <w:spacing w:val="-9"/>
        </w:rPr>
        <w:t xml:space="preserve"> </w:t>
      </w:r>
      <w:r>
        <w:t>façades,</w:t>
      </w:r>
    </w:p>
    <w:p w:rsidR="00D417B6" w:rsidRDefault="00D417B6" w:rsidP="00D05ACC">
      <w:pPr>
        <w:pStyle w:val="Paragraphedeliste"/>
        <w:numPr>
          <w:ilvl w:val="0"/>
          <w:numId w:val="1"/>
        </w:numPr>
        <w:tabs>
          <w:tab w:val="left" w:pos="1014"/>
          <w:tab w:val="left" w:pos="1015"/>
        </w:tabs>
        <w:spacing w:line="253" w:lineRule="exact"/>
        <w:ind w:hanging="361"/>
      </w:pPr>
      <w:r>
        <w:t>le remplissage des piscines sauf pour les piscines en cours de</w:t>
      </w:r>
      <w:r>
        <w:rPr>
          <w:spacing w:val="-7"/>
        </w:rPr>
        <w:t xml:space="preserve"> </w:t>
      </w:r>
      <w:r>
        <w:t>construction,</w:t>
      </w:r>
    </w:p>
    <w:p w:rsidR="00D417B6" w:rsidRDefault="00D417B6" w:rsidP="00D05ACC">
      <w:pPr>
        <w:pStyle w:val="Paragraphedeliste"/>
        <w:numPr>
          <w:ilvl w:val="0"/>
          <w:numId w:val="1"/>
        </w:numPr>
        <w:tabs>
          <w:tab w:val="left" w:pos="1015"/>
        </w:tabs>
        <w:ind w:right="565"/>
        <w:jc w:val="both"/>
      </w:pPr>
      <w:r>
        <w:t>le lavage des véhicules, hors les installations professionnelles, les véhicules ayant une obligation réglementaire ou technique et les organismes liés à la sécurité et à la salubrité</w:t>
      </w:r>
      <w:r>
        <w:rPr>
          <w:spacing w:val="-1"/>
        </w:rPr>
        <w:t xml:space="preserve"> </w:t>
      </w:r>
      <w:r>
        <w:t>publique,</w:t>
      </w:r>
    </w:p>
    <w:p w:rsidR="00D417B6" w:rsidRDefault="00D417B6" w:rsidP="00D05ACC">
      <w:pPr>
        <w:pStyle w:val="Paragraphedeliste"/>
        <w:numPr>
          <w:ilvl w:val="0"/>
          <w:numId w:val="1"/>
        </w:numPr>
        <w:tabs>
          <w:tab w:val="left" w:pos="1015"/>
        </w:tabs>
        <w:ind w:right="565"/>
        <w:jc w:val="both"/>
      </w:pPr>
      <w:r>
        <w:t>le lavage des voies et des trottoirs sauf pour des raisons prioritaires de salubrité publique.</w:t>
      </w:r>
    </w:p>
    <w:p w:rsidR="00D417B6" w:rsidRDefault="00D417B6" w:rsidP="00D417B6">
      <w:pPr>
        <w:pStyle w:val="Corpsdetexte"/>
        <w:spacing w:before="6"/>
        <w:rPr>
          <w:sz w:val="21"/>
        </w:rPr>
      </w:pPr>
    </w:p>
    <w:p w:rsidR="00D417B6" w:rsidRDefault="00D417B6" w:rsidP="00D417B6">
      <w:pPr>
        <w:spacing w:line="244" w:lineRule="auto"/>
        <w:ind w:left="294" w:right="710"/>
      </w:pPr>
      <w:r>
        <w:rPr>
          <w:b/>
        </w:rPr>
        <w:t xml:space="preserve">ARTICLE 2 </w:t>
      </w:r>
      <w:r>
        <w:t>: Les doubles réseaux, en cas de recours à des ressources en eau privée sont interdits, sauf si une séparation complète des réseaux existe.</w:t>
      </w:r>
    </w:p>
    <w:p w:rsidR="00D417B6" w:rsidRDefault="00D417B6" w:rsidP="00D417B6">
      <w:pPr>
        <w:pStyle w:val="Corpsdetexte"/>
        <w:spacing w:before="1"/>
        <w:rPr>
          <w:sz w:val="21"/>
        </w:rPr>
      </w:pPr>
    </w:p>
    <w:p w:rsidR="00D417B6" w:rsidRDefault="00D417B6" w:rsidP="00D417B6">
      <w:pPr>
        <w:tabs>
          <w:tab w:val="left" w:leader="dot" w:pos="9469"/>
        </w:tabs>
        <w:ind w:left="294"/>
        <w:jc w:val="both"/>
      </w:pPr>
      <w:r>
        <w:rPr>
          <w:b/>
        </w:rPr>
        <w:t xml:space="preserve">ARTICLE 3 </w:t>
      </w:r>
      <w:r>
        <w:t>: Les dispositions du présent arrêté sont applicables à</w:t>
      </w:r>
      <w:r>
        <w:rPr>
          <w:spacing w:val="22"/>
        </w:rPr>
        <w:t xml:space="preserve"> </w:t>
      </w:r>
      <w:r>
        <w:t>compter</w:t>
      </w:r>
      <w:r>
        <w:rPr>
          <w:spacing w:val="3"/>
        </w:rPr>
        <w:t xml:space="preserve"> </w:t>
      </w:r>
      <w:r>
        <w:t>du</w:t>
      </w:r>
      <w:r>
        <w:tab/>
        <w:t>et</w:t>
      </w:r>
    </w:p>
    <w:p w:rsidR="00D417B6" w:rsidRDefault="00D417B6" w:rsidP="00D417B6">
      <w:pPr>
        <w:spacing w:before="4"/>
        <w:ind w:left="294"/>
        <w:jc w:val="both"/>
      </w:pPr>
      <w:r>
        <w:t xml:space="preserve">resteront en vigueur tant que les </w:t>
      </w:r>
      <w:r>
        <w:rPr>
          <w:color w:val="FF9900"/>
        </w:rPr>
        <w:t xml:space="preserve">conditions météorologiques et hydrologiques </w:t>
      </w:r>
      <w:r>
        <w:t>subsisteront.</w:t>
      </w:r>
    </w:p>
    <w:p w:rsidR="00D417B6" w:rsidRDefault="00D417B6" w:rsidP="00D417B6">
      <w:pPr>
        <w:pStyle w:val="Corpsdetexte"/>
        <w:spacing w:before="9"/>
        <w:rPr>
          <w:sz w:val="21"/>
        </w:rPr>
      </w:pPr>
    </w:p>
    <w:p w:rsidR="00D417B6" w:rsidRDefault="00D417B6" w:rsidP="00D417B6">
      <w:pPr>
        <w:spacing w:before="1"/>
        <w:ind w:left="294" w:right="565"/>
        <w:jc w:val="both"/>
      </w:pPr>
      <w:r>
        <w:rPr>
          <w:b/>
        </w:rPr>
        <w:t xml:space="preserve">ARTICLE 4 </w:t>
      </w:r>
      <w:r>
        <w:t>: Tout contrevenant aux dispositions du présent arrêté s'expose à une peine d'amende prévue pour les contraventions de 5</w:t>
      </w:r>
      <w:r>
        <w:rPr>
          <w:vertAlign w:val="superscript"/>
        </w:rPr>
        <w:t>ème</w:t>
      </w:r>
      <w:r>
        <w:t xml:space="preserve"> classe (maximum 1 500 euros et 3 000 euros en cas de récidive).</w:t>
      </w:r>
    </w:p>
    <w:p w:rsidR="00D417B6" w:rsidRDefault="00D417B6" w:rsidP="00D417B6">
      <w:pPr>
        <w:pStyle w:val="Corpsdetexte"/>
        <w:spacing w:before="9"/>
        <w:rPr>
          <w:sz w:val="21"/>
        </w:rPr>
      </w:pPr>
    </w:p>
    <w:p w:rsidR="00D417B6" w:rsidRDefault="00D417B6" w:rsidP="00D417B6">
      <w:pPr>
        <w:spacing w:before="1" w:line="244" w:lineRule="auto"/>
        <w:ind w:left="294" w:right="567"/>
        <w:jc w:val="both"/>
      </w:pPr>
      <w:r>
        <w:rPr>
          <w:b/>
        </w:rPr>
        <w:t xml:space="preserve">ARTICLE 5 </w:t>
      </w:r>
      <w:r>
        <w:t>: Le présent arrêté peut faire l'objet d'un recours pour excès de pouvoir devant le Tribunal Administratif dans un délai de deux mois à compter de sa publication.</w:t>
      </w:r>
    </w:p>
    <w:p w:rsidR="00D417B6" w:rsidRDefault="00D417B6" w:rsidP="00D417B6">
      <w:pPr>
        <w:pStyle w:val="Corpsdetexte"/>
        <w:rPr>
          <w:sz w:val="21"/>
        </w:rPr>
      </w:pPr>
    </w:p>
    <w:p w:rsidR="00D417B6" w:rsidRDefault="00D417B6" w:rsidP="00D417B6">
      <w:pPr>
        <w:ind w:left="294"/>
      </w:pPr>
      <w:r>
        <w:rPr>
          <w:b/>
        </w:rPr>
        <w:t xml:space="preserve">ARTICLE 6 </w:t>
      </w:r>
      <w:r>
        <w:t>: Ampliation du présent arrêté sera transmise à:</w:t>
      </w:r>
    </w:p>
    <w:p w:rsidR="00D417B6" w:rsidRDefault="00D417B6" w:rsidP="00D05ACC">
      <w:pPr>
        <w:pStyle w:val="Paragraphedeliste"/>
        <w:numPr>
          <w:ilvl w:val="0"/>
          <w:numId w:val="1"/>
        </w:numPr>
        <w:tabs>
          <w:tab w:val="left" w:pos="1014"/>
          <w:tab w:val="left" w:pos="1015"/>
          <w:tab w:val="left" w:leader="dot" w:pos="4842"/>
        </w:tabs>
        <w:spacing w:before="4" w:line="253" w:lineRule="exact"/>
        <w:ind w:hanging="361"/>
      </w:pPr>
      <w:r>
        <w:t>Monsieur le Préfet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tab/>
        <w:t>,</w:t>
      </w:r>
    </w:p>
    <w:p w:rsidR="00D417B6" w:rsidRDefault="00D417B6" w:rsidP="00D05ACC">
      <w:pPr>
        <w:pStyle w:val="Paragraphedeliste"/>
        <w:numPr>
          <w:ilvl w:val="0"/>
          <w:numId w:val="1"/>
        </w:numPr>
        <w:tabs>
          <w:tab w:val="left" w:pos="1014"/>
          <w:tab w:val="left" w:pos="1015"/>
        </w:tabs>
        <w:spacing w:line="253" w:lineRule="exact"/>
        <w:ind w:hanging="361"/>
      </w:pPr>
      <w:r>
        <w:t>l'Agence Régionale de la</w:t>
      </w:r>
      <w:r>
        <w:rPr>
          <w:spacing w:val="-5"/>
        </w:rPr>
        <w:t xml:space="preserve"> </w:t>
      </w:r>
      <w:r>
        <w:t>Santé,</w:t>
      </w:r>
    </w:p>
    <w:p w:rsidR="00D417B6" w:rsidRDefault="00D417B6" w:rsidP="00D05ACC">
      <w:pPr>
        <w:pStyle w:val="Paragraphedeliste"/>
        <w:numPr>
          <w:ilvl w:val="0"/>
          <w:numId w:val="1"/>
        </w:numPr>
        <w:tabs>
          <w:tab w:val="left" w:pos="1014"/>
          <w:tab w:val="left" w:pos="1015"/>
        </w:tabs>
        <w:spacing w:before="1" w:line="253" w:lineRule="exact"/>
        <w:ind w:hanging="361"/>
      </w:pPr>
      <w:r>
        <w:t>la DDT,</w:t>
      </w:r>
    </w:p>
    <w:p w:rsidR="00000000" w:rsidRDefault="00D417B6" w:rsidP="00D417B6">
      <w:r>
        <w:t>la Brigade de Gendarmerie de</w:t>
      </w:r>
      <w:r>
        <w:rPr>
          <w:spacing w:val="-7"/>
        </w:rPr>
        <w:t xml:space="preserve"> </w:t>
      </w:r>
      <w:r>
        <w:t>…………</w:t>
      </w:r>
    </w:p>
    <w:p w:rsidR="00D417B6" w:rsidRDefault="00D417B6" w:rsidP="00D417B6">
      <w:pPr>
        <w:ind w:left="804" w:right="57" w:firstLine="636"/>
        <w:jc w:val="both"/>
        <w:rPr>
          <w:rFonts w:ascii="Calibri" w:hAnsi="Calibri" w:cs="Calibri"/>
          <w:snapToGrid w:val="0"/>
          <w:color w:val="000000"/>
          <w:sz w:val="24"/>
        </w:rPr>
      </w:pPr>
      <w:r w:rsidRPr="00D572A2">
        <w:rPr>
          <w:rFonts w:ascii="Calibri" w:hAnsi="Calibri" w:cs="Calibri"/>
          <w:snapToGrid w:val="0"/>
          <w:color w:val="000000"/>
          <w:sz w:val="24"/>
        </w:rPr>
        <w:tab/>
      </w:r>
      <w:r w:rsidRPr="00D572A2">
        <w:rPr>
          <w:rFonts w:ascii="Calibri" w:hAnsi="Calibri" w:cs="Calibri"/>
          <w:snapToGrid w:val="0"/>
          <w:color w:val="000000"/>
          <w:sz w:val="24"/>
        </w:rPr>
        <w:tab/>
      </w:r>
      <w:r w:rsidRPr="00D572A2">
        <w:rPr>
          <w:rFonts w:ascii="Calibri" w:hAnsi="Calibri" w:cs="Calibri"/>
          <w:snapToGrid w:val="0"/>
          <w:color w:val="000000"/>
          <w:sz w:val="24"/>
        </w:rPr>
        <w:tab/>
      </w:r>
      <w:r w:rsidRPr="00D572A2">
        <w:rPr>
          <w:rFonts w:ascii="Calibri" w:hAnsi="Calibri" w:cs="Calibri"/>
          <w:snapToGrid w:val="0"/>
          <w:color w:val="000000"/>
          <w:sz w:val="24"/>
        </w:rPr>
        <w:tab/>
      </w:r>
      <w:r w:rsidRPr="00D572A2">
        <w:rPr>
          <w:rFonts w:ascii="Calibri" w:hAnsi="Calibri" w:cs="Calibri"/>
          <w:snapToGrid w:val="0"/>
          <w:color w:val="000000"/>
          <w:sz w:val="24"/>
        </w:rPr>
        <w:tab/>
      </w:r>
    </w:p>
    <w:p w:rsidR="00D417B6" w:rsidRDefault="00D417B6" w:rsidP="00D417B6">
      <w:pPr>
        <w:ind w:left="804" w:right="57" w:firstLine="636"/>
        <w:jc w:val="center"/>
        <w:rPr>
          <w:rFonts w:ascii="Calibri" w:hAnsi="Calibri" w:cs="Calibri"/>
          <w:snapToGrid w:val="0"/>
          <w:color w:val="000000"/>
          <w:sz w:val="24"/>
        </w:rPr>
      </w:pPr>
      <w:r w:rsidRPr="00D572A2">
        <w:rPr>
          <w:rFonts w:ascii="Calibri" w:hAnsi="Calibri" w:cs="Calibri"/>
          <w:snapToGrid w:val="0"/>
          <w:color w:val="000000"/>
          <w:sz w:val="24"/>
        </w:rPr>
        <w:t>A  ………………, le ……………</w:t>
      </w:r>
    </w:p>
    <w:p w:rsidR="00D417B6" w:rsidRDefault="00D417B6" w:rsidP="00D417B6">
      <w:pPr>
        <w:ind w:left="804" w:right="57" w:firstLine="636"/>
        <w:jc w:val="right"/>
        <w:rPr>
          <w:rFonts w:ascii="Calibri" w:hAnsi="Calibri" w:cs="Calibri"/>
          <w:snapToGrid w:val="0"/>
          <w:color w:val="000000"/>
          <w:sz w:val="24"/>
        </w:rPr>
      </w:pPr>
    </w:p>
    <w:p w:rsidR="00D417B6" w:rsidRPr="00D572A2" w:rsidRDefault="00D417B6" w:rsidP="00D417B6">
      <w:pPr>
        <w:ind w:left="804" w:right="57" w:firstLine="636"/>
        <w:jc w:val="center"/>
        <w:rPr>
          <w:rFonts w:ascii="Calibri" w:hAnsi="Calibri" w:cs="Calibri"/>
          <w:snapToGrid w:val="0"/>
          <w:color w:val="000000"/>
          <w:sz w:val="24"/>
        </w:rPr>
      </w:pPr>
      <w:r>
        <w:rPr>
          <w:rFonts w:ascii="Calibri" w:hAnsi="Calibri" w:cs="Calibri"/>
          <w:snapToGrid w:val="0"/>
          <w:color w:val="000000"/>
          <w:sz w:val="24"/>
        </w:rPr>
        <w:t xml:space="preserve"> Le Maire             </w:t>
      </w:r>
    </w:p>
    <w:p w:rsidR="00D417B6" w:rsidRPr="00D417B6" w:rsidRDefault="00D417B6" w:rsidP="00D417B6"/>
    <w:sectPr w:rsidR="00D417B6" w:rsidRPr="00D417B6" w:rsidSect="00D417B6">
      <w:headerReference w:type="default" r:id="rId7"/>
      <w:footerReference w:type="default" r:id="rId8"/>
      <w:pgSz w:w="11900" w:h="16840"/>
      <w:pgMar w:top="640" w:right="700" w:bottom="280" w:left="9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5ACC" w:rsidRDefault="00D05ACC">
      <w:r>
        <w:separator/>
      </w:r>
    </w:p>
  </w:endnote>
  <w:endnote w:type="continuationSeparator" w:id="0">
    <w:p w:rsidR="00D05ACC" w:rsidRDefault="00D0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357" w:rsidRDefault="00665357">
    <w:pPr>
      <w:pStyle w:val="Corpsdetex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5ACC" w:rsidRDefault="00D05ACC">
      <w:r>
        <w:separator/>
      </w:r>
    </w:p>
  </w:footnote>
  <w:footnote w:type="continuationSeparator" w:id="0">
    <w:p w:rsidR="00D05ACC" w:rsidRDefault="00D05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357" w:rsidRDefault="00665357">
    <w:pPr>
      <w:pStyle w:val="Corpsdetexte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AD7B49"/>
    <w:multiLevelType w:val="hybridMultilevel"/>
    <w:tmpl w:val="0430F168"/>
    <w:lvl w:ilvl="0" w:tplc="D73838A0">
      <w:numFmt w:val="bullet"/>
      <w:lvlText w:val="-"/>
      <w:lvlJc w:val="left"/>
      <w:pPr>
        <w:ind w:left="1014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fr-FR" w:eastAsia="fr-FR" w:bidi="fr-FR"/>
      </w:rPr>
    </w:lvl>
    <w:lvl w:ilvl="1" w:tplc="9FC26386">
      <w:numFmt w:val="bullet"/>
      <w:lvlText w:val="•"/>
      <w:lvlJc w:val="left"/>
      <w:pPr>
        <w:ind w:left="1940" w:hanging="360"/>
      </w:pPr>
      <w:rPr>
        <w:rFonts w:hint="default"/>
        <w:lang w:val="fr-FR" w:eastAsia="fr-FR" w:bidi="fr-FR"/>
      </w:rPr>
    </w:lvl>
    <w:lvl w:ilvl="2" w:tplc="76728B3C">
      <w:numFmt w:val="bullet"/>
      <w:lvlText w:val="•"/>
      <w:lvlJc w:val="left"/>
      <w:pPr>
        <w:ind w:left="2860" w:hanging="360"/>
      </w:pPr>
      <w:rPr>
        <w:rFonts w:hint="default"/>
        <w:lang w:val="fr-FR" w:eastAsia="fr-FR" w:bidi="fr-FR"/>
      </w:rPr>
    </w:lvl>
    <w:lvl w:ilvl="3" w:tplc="FE162B98">
      <w:numFmt w:val="bullet"/>
      <w:lvlText w:val="•"/>
      <w:lvlJc w:val="left"/>
      <w:pPr>
        <w:ind w:left="3780" w:hanging="360"/>
      </w:pPr>
      <w:rPr>
        <w:rFonts w:hint="default"/>
        <w:lang w:val="fr-FR" w:eastAsia="fr-FR" w:bidi="fr-FR"/>
      </w:rPr>
    </w:lvl>
    <w:lvl w:ilvl="4" w:tplc="CDD861C2">
      <w:numFmt w:val="bullet"/>
      <w:lvlText w:val="•"/>
      <w:lvlJc w:val="left"/>
      <w:pPr>
        <w:ind w:left="4700" w:hanging="360"/>
      </w:pPr>
      <w:rPr>
        <w:rFonts w:hint="default"/>
        <w:lang w:val="fr-FR" w:eastAsia="fr-FR" w:bidi="fr-FR"/>
      </w:rPr>
    </w:lvl>
    <w:lvl w:ilvl="5" w:tplc="B644C37A">
      <w:numFmt w:val="bullet"/>
      <w:lvlText w:val="•"/>
      <w:lvlJc w:val="left"/>
      <w:pPr>
        <w:ind w:left="5620" w:hanging="360"/>
      </w:pPr>
      <w:rPr>
        <w:rFonts w:hint="default"/>
        <w:lang w:val="fr-FR" w:eastAsia="fr-FR" w:bidi="fr-FR"/>
      </w:rPr>
    </w:lvl>
    <w:lvl w:ilvl="6" w:tplc="CC569F14">
      <w:numFmt w:val="bullet"/>
      <w:lvlText w:val="•"/>
      <w:lvlJc w:val="left"/>
      <w:pPr>
        <w:ind w:left="6540" w:hanging="360"/>
      </w:pPr>
      <w:rPr>
        <w:rFonts w:hint="default"/>
        <w:lang w:val="fr-FR" w:eastAsia="fr-FR" w:bidi="fr-FR"/>
      </w:rPr>
    </w:lvl>
    <w:lvl w:ilvl="7" w:tplc="60AACB00">
      <w:numFmt w:val="bullet"/>
      <w:lvlText w:val="•"/>
      <w:lvlJc w:val="left"/>
      <w:pPr>
        <w:ind w:left="7460" w:hanging="360"/>
      </w:pPr>
      <w:rPr>
        <w:rFonts w:hint="default"/>
        <w:lang w:val="fr-FR" w:eastAsia="fr-FR" w:bidi="fr-FR"/>
      </w:rPr>
    </w:lvl>
    <w:lvl w:ilvl="8" w:tplc="67C8EFF0">
      <w:numFmt w:val="bullet"/>
      <w:lvlText w:val="•"/>
      <w:lvlJc w:val="left"/>
      <w:pPr>
        <w:ind w:left="8380" w:hanging="360"/>
      </w:pPr>
      <w:rPr>
        <w:rFonts w:hint="default"/>
        <w:lang w:val="fr-FR" w:eastAsia="fr-FR" w:bidi="fr-FR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357"/>
    <w:rsid w:val="00186B98"/>
    <w:rsid w:val="00482260"/>
    <w:rsid w:val="00665357"/>
    <w:rsid w:val="00D05ACC"/>
    <w:rsid w:val="00D4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B31F84"/>
  <w15:docId w15:val="{B90DDDDA-6ADA-4989-B247-B17A450A8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 w:eastAsia="fr-FR" w:bidi="fr-FR"/>
    </w:rPr>
  </w:style>
  <w:style w:type="paragraph" w:styleId="Titre1">
    <w:name w:val="heading 1"/>
    <w:basedOn w:val="Normal"/>
    <w:uiPriority w:val="9"/>
    <w:qFormat/>
    <w:pPr>
      <w:ind w:left="20"/>
      <w:outlineLvl w:val="0"/>
    </w:pPr>
    <w:rPr>
      <w:b/>
      <w:bCs/>
      <w:sz w:val="40"/>
      <w:szCs w:val="40"/>
    </w:rPr>
  </w:style>
  <w:style w:type="paragraph" w:styleId="Titre2">
    <w:name w:val="heading 2"/>
    <w:basedOn w:val="Normal"/>
    <w:uiPriority w:val="9"/>
    <w:unhideWhenUsed/>
    <w:qFormat/>
    <w:pPr>
      <w:spacing w:before="89"/>
      <w:ind w:left="1515"/>
      <w:outlineLvl w:val="1"/>
    </w:pPr>
    <w:rPr>
      <w:b/>
      <w:bCs/>
      <w:sz w:val="32"/>
      <w:szCs w:val="32"/>
      <w:u w:val="single" w:color="000000"/>
    </w:rPr>
  </w:style>
  <w:style w:type="paragraph" w:styleId="Titre3">
    <w:name w:val="heading 3"/>
    <w:basedOn w:val="Normal"/>
    <w:uiPriority w:val="9"/>
    <w:unhideWhenUsed/>
    <w:qFormat/>
    <w:pPr>
      <w:ind w:left="227"/>
      <w:outlineLvl w:val="2"/>
    </w:pPr>
    <w:rPr>
      <w:b/>
      <w:bCs/>
      <w:i/>
      <w:sz w:val="28"/>
      <w:szCs w:val="28"/>
    </w:rPr>
  </w:style>
  <w:style w:type="paragraph" w:styleId="Titre4">
    <w:name w:val="heading 4"/>
    <w:basedOn w:val="Normal"/>
    <w:uiPriority w:val="9"/>
    <w:unhideWhenUsed/>
    <w:qFormat/>
    <w:pPr>
      <w:spacing w:before="12"/>
      <w:ind w:left="20"/>
      <w:jc w:val="center"/>
      <w:outlineLvl w:val="3"/>
    </w:pPr>
    <w:rPr>
      <w:b/>
      <w:bCs/>
      <w:i/>
      <w:sz w:val="24"/>
      <w:szCs w:val="24"/>
    </w:rPr>
  </w:style>
  <w:style w:type="paragraph" w:styleId="Titre5">
    <w:name w:val="heading 5"/>
    <w:basedOn w:val="Normal"/>
    <w:uiPriority w:val="9"/>
    <w:unhideWhenUsed/>
    <w:qFormat/>
    <w:pPr>
      <w:spacing w:before="231"/>
      <w:ind w:left="294"/>
      <w:jc w:val="both"/>
      <w:outlineLvl w:val="4"/>
    </w:pPr>
    <w:rPr>
      <w:sz w:val="24"/>
      <w:szCs w:val="24"/>
    </w:rPr>
  </w:style>
  <w:style w:type="paragraph" w:styleId="Titre6">
    <w:name w:val="heading 6"/>
    <w:basedOn w:val="Normal"/>
    <w:uiPriority w:val="9"/>
    <w:unhideWhenUsed/>
    <w:qFormat/>
    <w:pPr>
      <w:spacing w:before="37"/>
      <w:ind w:left="345" w:hanging="239"/>
      <w:outlineLvl w:val="5"/>
    </w:pPr>
    <w:rPr>
      <w:b/>
      <w:bCs/>
    </w:rPr>
  </w:style>
  <w:style w:type="paragraph" w:styleId="Titre7">
    <w:name w:val="heading 7"/>
    <w:basedOn w:val="Normal"/>
    <w:uiPriority w:val="1"/>
    <w:qFormat/>
    <w:pPr>
      <w:ind w:left="294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1"/>
    <w:qFormat/>
    <w:pPr>
      <w:spacing w:before="119"/>
      <w:ind w:left="435" w:hanging="273"/>
    </w:pPr>
    <w:rPr>
      <w:b/>
      <w:bCs/>
    </w:rPr>
  </w:style>
  <w:style w:type="paragraph" w:styleId="TM2">
    <w:name w:val="toc 2"/>
    <w:basedOn w:val="Normal"/>
    <w:uiPriority w:val="1"/>
    <w:qFormat/>
    <w:pPr>
      <w:spacing w:line="252" w:lineRule="exact"/>
      <w:ind w:left="435"/>
    </w:p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  <w:pPr>
      <w:ind w:left="1143" w:hanging="349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186B9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86B98"/>
    <w:rPr>
      <w:rFonts w:ascii="Arial" w:eastAsia="Arial" w:hAnsi="Arial" w:cs="Arial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186B9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86B98"/>
    <w:rPr>
      <w:rFonts w:ascii="Arial" w:eastAsia="Arial" w:hAnsi="Arial" w:cs="Arial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interne de Crise Version définitiveV4</dc:title>
  <dc:creator>fmoraguez</dc:creator>
  <cp:lastModifiedBy>Paul BACHTANIK</cp:lastModifiedBy>
  <cp:revision>3</cp:revision>
  <dcterms:created xsi:type="dcterms:W3CDTF">2020-04-23T09:31:00Z</dcterms:created>
  <dcterms:modified xsi:type="dcterms:W3CDTF">2020-04-23T09:33:00Z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2017-04-03T00:00:00Z</vt:filetime>
  </property>
  <property fmtid="{D5CDD505-2E9C-101B-9397-08002B2CF9AE}" pid="3" name="Creator">
    <vt:lpwstr>PDFCreator Version 1.6.0</vt:lpwstr>
  </property>
  <property fmtid="{D5CDD505-2E9C-101B-9397-08002B2CF9AE}" pid="4" name="LastSaved">
    <vt:filetime>2020-04-23T00:00:00Z</vt:filetime>
  </property>
</Properties>
</file>